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 w:line="240" w:lineRule="auto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>2020 Category A City:  FRIDLEY</w:t>
      </w:r>
    </w:p>
    <w:p>
      <w:pPr>
        <w:pStyle w:val="Body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Currently a </w:t>
      </w:r>
      <w:r>
        <w:rPr>
          <w:sz w:val="24"/>
          <w:szCs w:val="24"/>
          <w:u w:val="single"/>
          <w:rtl w:val="0"/>
          <w:lang w:val="en-US"/>
        </w:rPr>
        <w:t>Step 2</w:t>
      </w:r>
      <w:r>
        <w:rPr>
          <w:sz w:val="24"/>
          <w:szCs w:val="24"/>
          <w:rtl w:val="0"/>
          <w:lang w:val="en-US"/>
        </w:rPr>
        <w:t xml:space="preserve"> GreenStep City as of June 2018</w:t>
      </w:r>
    </w:p>
    <w:p>
      <w:pPr>
        <w:pStyle w:val="Body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(joined August 2014)</w:t>
      </w:r>
    </w:p>
    <w:p>
      <w:pPr>
        <w:pStyle w:val="Body"/>
        <w:spacing w:after="0" w:line="240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5505450</wp:posOffset>
                </wp:positionH>
                <wp:positionV relativeFrom="line">
                  <wp:posOffset>154305</wp:posOffset>
                </wp:positionV>
                <wp:extent cx="264160" cy="274955"/>
                <wp:effectExtent l="0" t="0" r="0" b="0"/>
                <wp:wrapNone/>
                <wp:docPr id="1073741825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33.5pt;margin-top:12.2pt;width:20.8pt;height:21.6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bidi w:val="0"/>
                      </w:pPr>
                      <w:r>
                        <w:rPr>
                          <w:rtl w:val="0"/>
                        </w:rPr>
                        <w:t>x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line">
                  <wp:posOffset>154305</wp:posOffset>
                </wp:positionV>
                <wp:extent cx="264160" cy="274955"/>
                <wp:effectExtent l="0" t="0" r="0" b="0"/>
                <wp:wrapNone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21.2pt;margin-top:12.2pt;width:20.8pt;height:21.6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Body"/>
        <w:spacing w:after="0" w:line="240" w:lineRule="auto"/>
        <w:rPr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Which assessment</w:t>
      </w:r>
      <w:r>
        <w:rPr>
          <w:i w:val="1"/>
          <w:iCs w:val="1"/>
          <w:rtl w:val="0"/>
          <w:lang w:val="en-US"/>
        </w:rPr>
        <w:t>?    Preliminary: for city review                Final: May 1</w:t>
      </w:r>
      <w:r>
        <w:rPr>
          <w:i w:val="1"/>
          <w:iCs w:val="1"/>
          <w:vertAlign w:val="superscript"/>
          <w:rtl w:val="0"/>
        </w:rPr>
        <w:t>st</w:t>
      </w:r>
      <w:r>
        <w:rPr>
          <w:i w:val="1"/>
          <w:iCs w:val="1"/>
          <w:rtl w:val="0"/>
          <w:lang w:val="en-US"/>
        </w:rPr>
        <w:t xml:space="preserve"> recommendation to LMC  </w:t>
      </w:r>
    </w:p>
    <w:p>
      <w:pPr>
        <w:pStyle w:val="Body"/>
        <w:spacing w:after="0" w:line="240" w:lineRule="auto"/>
        <w:rPr>
          <w:b w:val="1"/>
          <w:bCs w:val="1"/>
          <w:i w:val="1"/>
          <w:iCs w:val="1"/>
        </w:rPr>
      </w:pPr>
    </w:p>
    <w:p>
      <w:pPr>
        <w:pStyle w:val="Body"/>
        <w:spacing w:after="0" w:line="240" w:lineRule="auto"/>
        <w:rPr>
          <w:i w:val="1"/>
          <w:iCs w:val="1"/>
        </w:rPr>
      </w:pP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line">
                  <wp:posOffset>162560</wp:posOffset>
                </wp:positionV>
                <wp:extent cx="504825" cy="351155"/>
                <wp:effectExtent l="0" t="0" r="0" b="0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260.2pt;margin-top:12.8pt;width:39.8pt;height:27.6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YES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6200775</wp:posOffset>
                </wp:positionH>
                <wp:positionV relativeFrom="line">
                  <wp:posOffset>160655</wp:posOffset>
                </wp:positionV>
                <wp:extent cx="561975" cy="351155"/>
                <wp:effectExtent l="0" t="0" r="0" b="0"/>
                <wp:wrapNone/>
                <wp:docPr id="1073741828" name="officeArt object" descr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488.2pt;margin-top:12.7pt;width:44.2pt;height:27.6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YES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b w:val="1"/>
          <w:bCs w:val="1"/>
          <w:i w:val="1"/>
          <w:iCs w:val="1"/>
          <w:rtl w:val="0"/>
          <w:lang w:val="en-US"/>
        </w:rPr>
        <w:t>Assessor and date</w:t>
      </w:r>
      <w:r>
        <w:rPr>
          <w:i w:val="1"/>
          <w:iCs w:val="1"/>
          <w:rtl w:val="0"/>
        </w:rPr>
        <w:t>:     Philipp Muessig,</w:t>
      </w:r>
      <w:r>
        <w:rPr>
          <w:b w:val="1"/>
          <w:bCs w:val="1"/>
          <w:i w:val="1"/>
          <w:iCs w:val="1"/>
          <w:rtl w:val="0"/>
        </w:rPr>
        <w:t xml:space="preserve"> </w:t>
      </w:r>
      <w:r>
        <w:rPr>
          <w:b w:val="1"/>
          <w:bCs w:val="1"/>
          <w:i w:val="1"/>
          <w:iCs w:val="1"/>
          <w:rtl w:val="0"/>
          <w:lang w:val="en-US"/>
        </w:rPr>
        <w:t>4/27</w:t>
      </w:r>
      <w:r>
        <w:rPr>
          <w:i w:val="1"/>
          <w:iCs w:val="1"/>
          <w:rtl w:val="0"/>
        </w:rPr>
        <w:t>/20</w:t>
      </w:r>
    </w:p>
    <w:p>
      <w:pPr>
        <w:pStyle w:val="Body"/>
        <w:spacing w:after="0" w:line="240" w:lineRule="auto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line">
                  <wp:posOffset>63500</wp:posOffset>
                </wp:positionV>
                <wp:extent cx="390525" cy="333375"/>
                <wp:effectExtent l="0" t="0" r="0" b="0"/>
                <wp:wrapNone/>
                <wp:docPr id="1073741829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78.8pt;margin-top:5.0pt;width:30.8pt;height:26.2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18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Body"/>
        <w:spacing w:after="0" w:line="240" w:lineRule="auto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</w:rPr>
        <w:t xml:space="preserve">Total BPs done:                                All required* BPs done?  </w:t>
        <w:tab/>
        <w:t xml:space="preserve">               BP distribution requirements* met?</w:t>
      </w:r>
    </w:p>
    <w:p>
      <w:pPr>
        <w:pStyle w:val="Body"/>
        <w:spacing w:after="0" w:line="240" w:lineRule="auto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line">
                  <wp:posOffset>107632</wp:posOffset>
                </wp:positionV>
                <wp:extent cx="381000" cy="361316"/>
                <wp:effectExtent l="0" t="0" r="0" b="0"/>
                <wp:wrapNone/>
                <wp:docPr id="1073741830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1000" cy="361316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38100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0000" dir="540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Label.0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270.0pt;margin-top:8.5pt;width:30.0pt;height:28.5pt;z-index:251663360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color="#9BBB59" opacity="100.0%" type="solid"/>
                <v:stroke filltype="solid" color="#FFFFFF" opacity="100.0%" weight="3.0pt" dashstyle="solid" endcap="flat" joinstyle="round" linestyle="single" startarrow="none" startarrowwidth="medium" startarrowlength="medium" endarrow="none" endarrowwidth="medium" endarrowlength="medium"/>
                <v:shadow on="t" color="#000000" opacity="0.38" offset="0.0pt,1.6pt"/>
                <v:textbox>
                  <w:txbxContent>
                    <w:p>
                      <w:pPr>
                        <w:pStyle w:val="Label.0"/>
                        <w:bidi w:val="0"/>
                      </w:pPr>
                      <w:r>
                        <w:rPr>
                          <w:rtl w:val="0"/>
                        </w:rPr>
                        <w:t>X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</w:p>
    <w:p>
      <w:pPr>
        <w:pStyle w:val="Body"/>
        <w:spacing w:after="0" w:line="240" w:lineRule="auto"/>
      </w:pPr>
      <w:r>
        <w:rPr>
          <w:b w:val="1"/>
          <w:bCs w:val="1"/>
          <w:i w:val="1"/>
          <w:iCs w:val="1"/>
          <w:rtl w:val="0"/>
          <w:lang w:val="en-US"/>
        </w:rPr>
        <w:t xml:space="preserve">Recommend June 2020 public recognition at:         </w:t>
      </w:r>
      <w:r>
        <w:rPr>
          <w:b w:val="1"/>
          <w:bCs w:val="1"/>
          <w:i w:val="1"/>
          <w:iCs w:val="1"/>
          <w:u w:val="single"/>
          <w:rtl w:val="0"/>
          <w:lang w:val="en-US"/>
        </w:rPr>
        <w:t>Step 3</w:t>
      </w:r>
      <w:r>
        <w:rPr>
          <w:b w:val="1"/>
          <w:bCs w:val="1"/>
          <w:i w:val="1"/>
          <w:iCs w:val="1"/>
          <w:rtl w:val="0"/>
        </w:rPr>
        <w:t xml:space="preserve">  </w:t>
      </w:r>
    </w:p>
    <w:p>
      <w:pPr>
        <w:pStyle w:val="Body"/>
        <w:tabs>
          <w:tab w:val="left" w:pos="8055"/>
        </w:tabs>
        <w:spacing w:after="0" w:line="240" w:lineRule="auto"/>
        <w:jc w:val="right"/>
      </w:pPr>
      <w:r>
        <w:rPr>
          <w:rtl w:val="0"/>
        </w:rPr>
        <w:t xml:space="preserve">* </w:t>
      </w:r>
      <w:r>
        <w:rPr>
          <w:sz w:val="20"/>
          <w:szCs w:val="20"/>
          <w:rtl w:val="0"/>
          <w:lang w:val="en-US"/>
        </w:rPr>
        <w:t>note: requirements are for Step 3 recognition</w:t>
      </w:r>
    </w:p>
    <w:tbl>
      <w:tblPr>
        <w:tblW w:w="10790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08"/>
        <w:gridCol w:w="794"/>
        <w:gridCol w:w="6888"/>
      </w:tblGrid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1079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Best practices (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required in bold</w:t>
            </w:r>
            <w:r>
              <w:rPr>
                <w:shd w:val="nil" w:color="auto" w:fill="auto"/>
                <w:rtl w:val="0"/>
                <w:lang w:val="en-US"/>
              </w:rPr>
              <w:t>)      BP implemented?      Action summary by # and star level achieved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  Action rules (req.  actions in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bold</w:t>
            </w:r>
            <w:r>
              <w:rPr>
                <w:shd w:val="nil" w:color="auto" w:fill="auto"/>
                <w:rtl w:val="0"/>
                <w:lang w:val="en-US"/>
              </w:rPr>
              <w:t xml:space="preserve">)                                                                                                  </w:t>
            </w:r>
          </w:p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1079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                                                        BUILDINGS: distribution requirement is </w:t>
            </w:r>
            <w:r>
              <w:rPr>
                <w:b w:val="1"/>
                <w:bCs w:val="1"/>
                <w:outline w:val="0"/>
                <w:color w:val="ff000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2 BPs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;     are 2 BPs done?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  YES</w:t>
            </w:r>
          </w:p>
        </w:tc>
      </w:tr>
      <w:tr>
        <w:tblPrEx>
          <w:shd w:val="clear" w:color="auto" w:fill="ced7e7"/>
        </w:tblPrEx>
        <w:trPr>
          <w:trHeight w:val="3764" w:hRule="atLeast"/>
        </w:trPr>
        <w:tc>
          <w:tcPr>
            <w:tcW w:type="dxa" w:w="3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1. Public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    Actions 1 &amp; 2; &amp; one action from actions 3-7</w:t>
            </w:r>
            <w:r>
              <w:rPr>
                <w:b w:val="1"/>
                <w:bCs w:val="1"/>
                <w:shd w:val="nil" w:color="auto" w:fill="auto"/>
              </w:rPr>
            </w:r>
          </w:p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6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1.1  COMLPLETE @ 1 STAR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2020: electrical and gas data entered into the B3 program for the City's Civic Campus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1.2  COMPLETE @ 1 STAR --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motion activated lighting at Civic Campus, Public Works building, within refrigerated section of liquor stores; also vending misers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14:textFill>
                  <w14:solidFill>
                    <w14:srgbClr w14:val="516F00"/>
                  </w14:solidFill>
                </w14:textFill>
              </w:rPr>
            </w:pPr>
            <w:r>
              <w:rPr>
                <w:rFonts w:ascii="Calibri" w:hAnsi="Calibri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1.3  COMPLETE @ 1 STAR --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fire station cooling unit upgrade; city hall &amp; liquor store LEDs; variable frequency drive motor at Water Treatment Plant; all lighting at Fire Stations 2 and 3 with LEDs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1.5  COMPLETE @ 3 STARS --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 xml:space="preserve"> $98,000/yr. energy savings in PW &amp; Civic campus buildings due to Xcel Energy Design Assistance that cut electric/gas consumption 27-55% below baseline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1.7  COMPLETE @ 3 STARS </w:t>
            </w:r>
            <w:r>
              <w:rPr>
                <w:rFonts w:ascii="Calibri" w:hAnsi="Calibri" w:hint="default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–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City nature center has solar panels, bird-friendly glass, porous hardscapes, roof gardens, recycled materials and 64 geothermal wells</w:t>
            </w:r>
            <w:r>
              <w:rPr>
                <w:rFonts w:ascii="Arial" w:cs="Arial" w:hAnsi="Arial" w:eastAsia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14:textFill>
                  <w14:solidFill>
                    <w14:srgbClr w14:val="516F00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3231" w:hRule="atLeast"/>
        </w:trPr>
        <w:tc>
          <w:tcPr>
            <w:tcW w:type="dxa" w:w="3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2. Private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  any two actions</w:t>
            </w:r>
          </w:p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6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2.1  COMPLETE @ 2 STARS --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HRA offers residents subsidized Home Energy Squad Enhanced visits through CEE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2.2  COMPLETE @ 3 STARS --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info sheets (part of PIE effort) on how to integrate energy efficiency into commercial and residential renovations available at front desk, on web, shared during meetings with property owners/developers during the City's development review committee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14:textFill>
                  <w14:solidFill>
                    <w14:srgbClr w14:val="516F00"/>
                  </w14:solidFill>
                </w14:textFill>
              </w:rPr>
            </w:pPr>
            <w:r>
              <w:rPr>
                <w:rFonts w:ascii="Calibri" w:hAnsi="Calibri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2.4  COMPLETE @ 3 STARS --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city quarterly business e-newsletter; MnTAP promoted to top-10 water users; Eco Finishing, using MnTAP, cut 1M+ gal of water &amp; 80k per year; 2 Murphy's Warehouses LEED Gold, 6 vs. 4 acres of native prairie vs. lawn saves $26,762/yr.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2.5  COMPLETE @ 3 STARS --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50% rebate to residents who purchased ES washers (24), WaterSense toilets (36) &amp; /irrig. systems (</w:t>
            </w:r>
            <w:r>
              <w:rPr>
                <w:rFonts w:ascii="Arial" w:hAnsi="Arial" w:hint="default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16-</w:t>
            </w:r>
            <w:r>
              <w:rPr>
                <w:rFonts w:ascii="Arial" w:hAnsi="Arial" w:hint="default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17); web info on ordering a rain barrel and installing rain gardens</w:t>
            </w:r>
          </w:p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3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3. New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  action 1 or 2; one from 3-5</w:t>
            </w:r>
          </w:p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7" w:hRule="atLeast"/>
        </w:trPr>
        <w:tc>
          <w:tcPr>
            <w:tcW w:type="dxa" w:w="3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4. Lighting/Signals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  2 actions with one from 5-8</w:t>
            </w:r>
          </w:p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6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rFonts w:ascii="Arial" w:cs="Arial" w:hAnsi="Arial" w:eastAsia="Arial"/>
                <w:outline w:val="0"/>
                <w:color w:val="666666"/>
                <w:sz w:val="21"/>
                <w:szCs w:val="21"/>
                <w:u w:color="666666"/>
                <w:shd w:val="nil" w:color="auto" w:fill="auto"/>
                <w14:textFill>
                  <w14:solidFill>
                    <w14:srgbClr w14:val="666666"/>
                  </w14:solidFill>
                </w14:textFill>
              </w:rPr>
            </w:pPr>
            <w:r>
              <w:rPr>
                <w:rFonts w:ascii="Calibri" w:hAnsi="Calibri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4.3  COMPLETE @ 3 STARS --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 xml:space="preserve">partnered with Xcel to replace 870 overhead lights with Dark Sky-compliant LED lights expected to save 27,469 KwH per month, $483 off of the City's energy bill, 28,952 lbs of CO2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4.5  COMPLETE @ 1 STAR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 xml:space="preserve">2016: solar LED flashing stop signs by middle school </w:t>
            </w:r>
          </w:p>
        </w:tc>
      </w:tr>
      <w:tr>
        <w:tblPrEx>
          <w:shd w:val="clear" w:color="auto" w:fill="ced7e7"/>
        </w:tblPrEx>
        <w:trPr>
          <w:trHeight w:val="1230" w:hRule="atLeast"/>
        </w:trPr>
        <w:tc>
          <w:tcPr>
            <w:tcW w:type="dxa" w:w="3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5. Reuse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  any one action</w:t>
            </w:r>
          </w:p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6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5.5  COMPLETE @ 3 STARS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PUD ord. governed redevelopment of Fridley Market (under-utilized, over-parked shopping center); former Superfund Northern Stacks commercial redevelopment (</w:t>
            </w:r>
            <w:r>
              <w:rPr>
                <w:rFonts w:ascii="Arial" w:hAnsi="Arial" w:hint="default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15-</w:t>
            </w:r>
            <w:r>
              <w:rPr>
                <w:rFonts w:ascii="Arial" w:hAnsi="Arial" w:hint="default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17), a MN Brownfields winner - largest infill commercial redevelopment in Minnesota</w:t>
            </w:r>
          </w:p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1079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                                                      LAND USE: </w:t>
            </w:r>
            <w:r>
              <w:rPr>
                <w:b w:val="1"/>
                <w:bCs w:val="1"/>
                <w:outline w:val="0"/>
                <w:color w:val="ff000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2 BPs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required;                                are 2 BPs done?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 YES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3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6. Comp Plan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    Actions 1 &amp; 2</w:t>
            </w:r>
          </w:p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6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6.1  COMPLETE @ 1 STAR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 xml:space="preserve">2016 update underway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6.2  COMPLETE @ 1 STAR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 xml:space="preserve">goal of zoning code is to </w:t>
            </w:r>
            <w:r>
              <w:rPr>
                <w:rFonts w:ascii="Arial" w:hAnsi="Arial" w:hint="default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“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achieve the goals &amp; objectives &amp; to guide  direct the community</w:t>
            </w:r>
            <w:r>
              <w:rPr>
                <w:rFonts w:ascii="Arial" w:hAnsi="Arial" w:hint="default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s development based on the Comp Plan</w:t>
            </w:r>
            <w:r>
              <w:rPr>
                <w:rFonts w:ascii="Arial" w:hAnsi="Arial" w:hint="default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 xml:space="preserve">” </w:t>
            </w:r>
          </w:p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3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7. Density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  any one action</w:t>
            </w:r>
          </w:p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7" w:hRule="atLeast"/>
        </w:trPr>
        <w:tc>
          <w:tcPr>
            <w:tcW w:type="dxa" w:w="3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8. Mixed Uses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  any two actions</w:t>
            </w:r>
          </w:p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6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8.1  COMPLETE @ 3 STARS --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 xml:space="preserve">(LISC) Corridor Development Initiative led </w:t>
            </w:r>
            <w:r>
              <w:rPr>
                <w:rFonts w:ascii="Arial" w:hAnsi="Arial" w:hint="default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 xml:space="preserve">15 </w:t>
            </w:r>
            <w:r>
              <w:rPr>
                <w:rFonts w:ascii="Arial" w:hAnsi="Arial" w:hint="default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– ’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16 community workshops to ID development guidelines for arena site &amp; adjacent public works building &amp; park/soccer fields resulting in the Columbia Arena Redevelopment Master Plan &amp; civic campus design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8.2  COMPLETE @ 3 STARS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2017 Civic Campus combines PW, CH, fire, police, on bus line, integrated with Rice Creek W Reg. Trail; includes  walking paths, stormwater treatment/water feature, community gathering spaces; 1 parking court serves employees &amp; multi-use plaza during evenings/weekends to host festivals, farmers markets</w:t>
            </w:r>
          </w:p>
        </w:tc>
      </w:tr>
      <w:tr>
        <w:tblPrEx>
          <w:shd w:val="clear" w:color="auto" w:fill="ced7e7"/>
        </w:tblPrEx>
        <w:trPr>
          <w:trHeight w:val="750" w:hRule="atLeast"/>
        </w:trPr>
        <w:tc>
          <w:tcPr>
            <w:tcW w:type="dxa" w:w="3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9. Highway Development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  any one action</w:t>
            </w:r>
          </w:p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6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9.1  COMPLETE @ 2 STARS --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corridor study with ext. public input for East River Road to improve transit and trail connections, improve visual quality, increase safety</w:t>
            </w:r>
          </w:p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3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10. Conservation Development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   any one action</w:t>
            </w:r>
          </w:p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1079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                                                           TRANSPORTATION: </w:t>
            </w:r>
            <w:r>
              <w:rPr>
                <w:b w:val="1"/>
                <w:bCs w:val="1"/>
                <w:outline w:val="0"/>
                <w:color w:val="ff000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2 BPs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required;                 are 2 BPs done?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3257" w:hRule="atLeast"/>
        </w:trPr>
        <w:tc>
          <w:tcPr>
            <w:tcW w:type="dxa" w:w="3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11. Complete Green Streets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     1; &amp; two additional actions</w:t>
            </w:r>
            <w:r>
              <w:rPr>
                <w:b w:val="1"/>
                <w:bCs w:val="1"/>
                <w:shd w:val="nil" w:color="auto" w:fill="auto"/>
              </w:rPr>
            </w:r>
          </w:p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6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11.1  COMPLETE @ 3 STARS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Living Streets policy &amp; worksheet completed for every road project and presented to the City Council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11.3  COMPLETE @  STARS --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2019 West Moore Lake Dr. SRTS reconstruction: reduced width by eliminating one lane of parking, installed 10</w:t>
            </w:r>
            <w:r>
              <w:rPr>
                <w:rFonts w:ascii="Arial" w:hAnsi="Arial" w:hint="default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 xml:space="preserve">’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grade-separated trail and a large rain garden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11.5  COMPLETE @ 2 STARS --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1.6-mile trail within Main St. blvd, incl. a ped bridge over I-694, provides a safe method for the residents of Fridley and Columbia Heights reach transit, employment, new Fridley Market center; storm drain to Ms. River diverted to underground infiltration basin and to enlarge an existing dry pond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11.6  COMPLETE @ 2 STARS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7 bioswale bump outs along street reduced from 40 to 24 feet; resident meetings and temporary test first; 2017 planting with pollinator plants</w:t>
            </w:r>
          </w:p>
        </w:tc>
      </w:tr>
      <w:tr>
        <w:tblPrEx>
          <w:shd w:val="clear" w:color="auto" w:fill="ced7e7"/>
        </w:tblPrEx>
        <w:trPr>
          <w:trHeight w:val="1784" w:hRule="atLeast"/>
        </w:trPr>
        <w:tc>
          <w:tcPr>
            <w:tcW w:type="dxa" w:w="3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12. Mobility Options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     any two actions</w:t>
            </w:r>
            <w:r>
              <w:rPr>
                <w:b w:val="1"/>
                <w:bCs w:val="1"/>
                <w:shd w:val="nil" w:color="auto" w:fill="auto"/>
              </w:rPr>
            </w:r>
          </w:p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6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12.2  COMPLETE @ 2 STARS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Active Transportation Plan: bike trails plowed in winter: SRTS team; active city-school-health care interaction;  active living classes; public/private partnership with area bike shops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12.3  COMPLETE @ 3 STARS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very complete and useful map!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12.4  COMPLETE @ 1 STAR --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van pool to NorthStar in partnership with the City's largest employers is now being pursued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790" w:hRule="atLeast"/>
        </w:trPr>
        <w:tc>
          <w:tcPr>
            <w:tcW w:type="dxa" w:w="3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13. Fleets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   any two actions</w:t>
            </w:r>
            <w:r>
              <w:rPr>
                <w:shd w:val="nil" w:color="auto" w:fill="auto"/>
              </w:rPr>
            </w:r>
          </w:p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7" w:hRule="atLeast"/>
        </w:trPr>
        <w:tc>
          <w:tcPr>
            <w:tcW w:type="dxa" w:w="3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14. TOD / TDM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   any two actions</w:t>
            </w:r>
          </w:p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6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14.1  COMPLETE @ 1 STAR --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 xml:space="preserve">decreased req. parking stall width from 10 to 9 ft. for MF, industrial zones; reduced parking stalls/sharing stalls allowed if lower need demonstrated and open space available should more parking be needed 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14.3  COMPLETE @ x STARS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2011 Transit Overlay District to promote higher density, pedestrian-oriented development within 1/2 mile of the NorthStar train station; includes mixed uses, bike parking, setback maximums (&amp; 0 lot lines), parking reductions, regional stormwater treatment, more parkland</w:t>
            </w:r>
          </w:p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1079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                                                            ENVIRON MGT: </w:t>
            </w:r>
            <w:r>
              <w:rPr>
                <w:b w:val="1"/>
                <w:bCs w:val="1"/>
                <w:outline w:val="0"/>
                <w:color w:val="ff000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4 BPs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required;                               are 4 done?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  YES</w:t>
            </w:r>
          </w:p>
        </w:tc>
      </w:tr>
      <w:tr>
        <w:tblPrEx>
          <w:shd w:val="clear" w:color="auto" w:fill="ced7e7"/>
        </w:tblPrEx>
        <w:trPr>
          <w:trHeight w:val="1284" w:hRule="atLeast"/>
        </w:trPr>
        <w:tc>
          <w:tcPr>
            <w:tcW w:type="dxa" w:w="3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15. Purchasing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     1; and one additional action</w:t>
            </w:r>
            <w:r>
              <w:rPr>
                <w:b w:val="1"/>
                <w:bCs w:val="1"/>
                <w:shd w:val="nil" w:color="auto" w:fill="auto"/>
              </w:rPr>
            </w:r>
          </w:p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6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15.1  COMPLETE @ 1 STAR --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30% post-consumer recycled content paper &amp; ES water heaters purchased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15.5  COMPLETE @ 2 STARS --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city allows RAP up to 20% by weight, adjusting rings from HDPE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017" w:hRule="atLeast"/>
        </w:trPr>
        <w:tc>
          <w:tcPr>
            <w:tcW w:type="dxa" w:w="3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16. Trees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     any two actions</w:t>
            </w:r>
            <w:r>
              <w:rPr>
                <w:b w:val="1"/>
                <w:bCs w:val="1"/>
                <w:shd w:val="nil" w:color="auto" w:fill="auto"/>
              </w:rPr>
            </w:r>
          </w:p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6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16.1  COMPLETE @ 1 STARs --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certified as a Tree City in 2017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16.6  COMPLETE @ 3 STARS --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EAB Mitigation Plan adopted 2018, incl. combo removal/reforestation &amp; treatment; goal of no more than 10% any species and no more than 20% any genus within the canopy</w:t>
            </w:r>
          </w:p>
        </w:tc>
      </w:tr>
      <w:tr>
        <w:tblPrEx>
          <w:shd w:val="clear" w:color="auto" w:fill="ced7e7"/>
        </w:tblPrEx>
        <w:trPr>
          <w:trHeight w:val="790" w:hRule="atLeast"/>
        </w:trPr>
        <w:tc>
          <w:tcPr>
            <w:tcW w:type="dxa" w:w="3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17. Stormwater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     any one action</w:t>
            </w:r>
            <w:r>
              <w:rPr>
                <w:b w:val="1"/>
                <w:bCs w:val="1"/>
                <w:shd w:val="nil" w:color="auto" w:fill="auto"/>
              </w:rPr>
            </w:r>
          </w:p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6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17.2  COMPLETE @ 3 STARS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2015 Blue Star Award for Excellence in Community Stormwater Management - #9</w:t>
            </w:r>
          </w:p>
        </w:tc>
      </w:tr>
      <w:tr>
        <w:tblPrEx>
          <w:shd w:val="clear" w:color="auto" w:fill="ced7e7"/>
        </w:tblPrEx>
        <w:trPr>
          <w:trHeight w:val="3711" w:hRule="atLeast"/>
        </w:trPr>
        <w:tc>
          <w:tcPr>
            <w:tcW w:type="dxa" w:w="3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18. Parks &amp; Trails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   any three actions</w:t>
            </w:r>
          </w:p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6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18.3  COMPLETE @ 3 STARS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24 acres city/Co. parkland per 1,000 residents; 94% of residents are within a 10-minute of walk of a park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18.5  COMPLETE @ 3 STARS --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 xml:space="preserve">recycling at picnic shelters; 2017 organics collection at Springbrook Nature Center, which provides event hosts discounted compostable plateware; all Public Works staff have a Level 1 certification in Summer Turf Care Best Practices through MPCA; adopted Pollinator Friendly Community resolution in 2018 </w:t>
            </w:r>
            <w:r>
              <w:rPr>
                <w:rFonts w:ascii="Arial" w:hAnsi="Arial" w:hint="default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 xml:space="preserve">–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incl. pollinator-friendly landscaping into City parks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18.7  COMPLETE @ 3 STARS --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Springbrook built to SB 2030 energy standards; includes geothermal heating and cooling, LED lighting, bird-friendly glass, use of high recycled content materials, use of FSC- certified wood, low-flow water fixtures, green roof, raingardens, permeable concrete, light and motion sensors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18.8  COMPLETE @ 1 STAR --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since 2016, 2x/yr. buckthorn removal events at Innsbruck Nature Center</w:t>
            </w:r>
          </w:p>
        </w:tc>
      </w:tr>
      <w:tr>
        <w:tblPrEx>
          <w:shd w:val="clear" w:color="auto" w:fill="ced7e7"/>
        </w:tblPrEx>
        <w:trPr>
          <w:trHeight w:val="1050" w:hRule="atLeast"/>
        </w:trPr>
        <w:tc>
          <w:tcPr>
            <w:tcW w:type="dxa" w:w="3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19. Surface Water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   if state public water:  4; and one additional action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if </w:t>
            </w:r>
            <w:r>
              <w:rPr>
                <w:u w:val="single"/>
                <w:shd w:val="nil" w:color="auto" w:fill="auto"/>
                <w:rtl w:val="0"/>
                <w:lang w:val="en-US"/>
              </w:rPr>
              <w:t>no</w:t>
            </w:r>
            <w:r>
              <w:rPr>
                <w:shd w:val="nil" w:color="auto" w:fill="auto"/>
                <w:rtl w:val="0"/>
                <w:lang w:val="en-US"/>
              </w:rPr>
              <w:t xml:space="preserve"> state water:  any one action</w:t>
            </w:r>
          </w:p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NO</w:t>
            </w:r>
          </w:p>
        </w:tc>
        <w:tc>
          <w:tcPr>
            <w:tcW w:type="dxa" w:w="6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19.4  COMPLETE @ 2 STARS --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DNR-approved shoreland ordinance, Critical Area overlay for Mississippi River Corridor Critical Area</w:t>
            </w:r>
          </w:p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3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20. Water / Wastewater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   1 &amp; 2; and one additional</w:t>
            </w:r>
          </w:p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3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21. Septics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   any one action</w:t>
            </w:r>
          </w:p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NO</w:t>
            </w:r>
          </w:p>
        </w:tc>
        <w:tc>
          <w:tcPr>
            <w:tcW w:type="dxa" w:w="6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21.1 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 xml:space="preserve">by early 2000's all remaining property owners with septic systems voluntarily connected to the sewer system </w:t>
            </w:r>
          </w:p>
        </w:tc>
      </w:tr>
      <w:tr>
        <w:tblPrEx>
          <w:shd w:val="clear" w:color="auto" w:fill="ced7e7"/>
        </w:tblPrEx>
        <w:trPr>
          <w:trHeight w:val="4237" w:hRule="atLeast"/>
        </w:trPr>
        <w:tc>
          <w:tcPr>
            <w:tcW w:type="dxa" w:w="3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22. Solid Waste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  1 or 2; &amp; one from 4-8</w:t>
            </w:r>
          </w:p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6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22.2  COMPLETE @ 1 STAR --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 xml:space="preserve">website on how to recycle non-curbside items such as Styrofoam, plastic bags; city staff answer 2 questions/wk.; city increased bulky item recycling events from 3 to 6/yr., incl. paper shredding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clear" w:color="auto" w:fill="ffff00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22.3  COMPLETE @ 2 STARS --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city-wide single sort recycling. The RFP for a single hauler for the contract, which runs from 2012 through the end of April in 2019 was issued for 65 gallon containers 2012</w:t>
            </w:r>
            <w:r>
              <w:rPr>
                <w:shd w:val="nil" w:color="auto" w:fill="auto"/>
                <w:rtl w:val="0"/>
                <w:lang w:val="en-US"/>
              </w:rPr>
              <w:t>-2014 increase in recycling tonnage (~1800 to 2300 tons) due to single-sort introduction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22.5  COMPLETE @ 2 STAR S --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 xml:space="preserve">voluntary curbside organics recycling via 1 hauler for SF through 4-plexes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22.6  COMPLETE @ 3 STARS --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 xml:space="preserve">city-wide single sort recycling by a single hauler (96-gallon cart for no additional charge); city recycling collected at apartment buildings under 13 units, over 13 required to hire recycling; rental inspection staff confirms recycling &amp; city provides outreach materials; City implements 7 "good" &amp; 3 </w:t>
            </w:r>
            <w:r>
              <w:rPr>
                <w:rFonts w:ascii="Arial" w:hAnsi="Arial" w:hint="default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“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better</w:t>
            </w:r>
            <w:r>
              <w:rPr>
                <w:rFonts w:ascii="Arial" w:hAnsi="Arial" w:hint="default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 xml:space="preserve">”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BMPs (data reporting from haulers, additional city staffing, expanded container space; carts; single-stream)</w:t>
            </w:r>
          </w:p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3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23. Local Air Quality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   any two actions</w:t>
            </w:r>
          </w:p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1079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                                                       ECON &amp; COMM DVLP: </w:t>
            </w:r>
            <w:r>
              <w:rPr>
                <w:b w:val="1"/>
                <w:bCs w:val="1"/>
                <w:outline w:val="0"/>
                <w:color w:val="ff000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3 BPs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required;                      are 3 done?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  YES</w:t>
            </w:r>
          </w:p>
        </w:tc>
      </w:tr>
      <w:tr>
        <w:tblPrEx>
          <w:shd w:val="clear" w:color="auto" w:fill="ced7e7"/>
        </w:tblPrEx>
        <w:trPr>
          <w:trHeight w:val="1764" w:hRule="atLeast"/>
        </w:trPr>
        <w:tc>
          <w:tcPr>
            <w:tcW w:type="dxa" w:w="3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24. Benchmarks &amp; Involvement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     Actions 1 &amp; 2</w:t>
            </w:r>
            <w:r>
              <w:rPr>
                <w:b w:val="1"/>
                <w:bCs w:val="1"/>
                <w:shd w:val="nil" w:color="auto" w:fill="auto"/>
              </w:rPr>
            </w:r>
          </w:p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NO</w:t>
            </w:r>
          </w:p>
        </w:tc>
        <w:tc>
          <w:tcPr>
            <w:tcW w:type="dxa" w:w="6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rFonts w:ascii="Arial" w:cs="Arial" w:hAnsi="Arial" w:eastAsia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14:textFill>
                  <w14:solidFill>
                    <w14:srgbClr w14:val="516F00"/>
                  </w14:solidFill>
                </w14:textFill>
              </w:rPr>
            </w:pPr>
            <w:r>
              <w:rPr>
                <w:rFonts w:ascii="Calibri" w:hAnsi="Calibri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24.1  COMPLETE @ 2 STARS --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Environmental Quality and Energy Commission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14:textFill>
                  <w14:solidFill>
                    <w14:srgbClr w14:val="516F00"/>
                  </w14:solidFill>
                </w14:textFill>
              </w:rPr>
            </w:pPr>
            <w:r>
              <w:rPr>
                <w:rFonts w:ascii="Calibri" w:hAnsi="Calibri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24.2  COMPLETE @ 2 STARS </w:t>
            </w:r>
            <w:r>
              <w:rPr>
                <w:rFonts w:ascii="Calibri" w:hAnsi="Calibri" w:hint="default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–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 xml:space="preserve">2020 </w:t>
            </w:r>
            <w:r>
              <w:rPr>
                <w:rFonts w:ascii="Arial" w:hAnsi="Arial" w:hint="default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“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Focus On Fridley" initiative: 5key focus areas for council, staff, community; Polco Software program to engage residents; report back via social media, newsletter, annual town hall meeting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24.3  COMPLETE @ </w:t>
            </w:r>
          </w:p>
        </w:tc>
      </w:tr>
      <w:tr>
        <w:tblPrEx>
          <w:shd w:val="clear" w:color="auto" w:fill="ced7e7"/>
        </w:tblPrEx>
        <w:trPr>
          <w:trHeight w:val="3057" w:hRule="atLeast"/>
        </w:trPr>
        <w:tc>
          <w:tcPr>
            <w:tcW w:type="dxa" w:w="3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25. Green Businesses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     any two actions</w:t>
            </w:r>
          </w:p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  <w:lang w:val="en-US"/>
              </w:rPr>
              <w:t>YES</w:t>
            </w:r>
          </w:p>
        </w:tc>
        <w:tc>
          <w:tcPr>
            <w:tcW w:type="dxa" w:w="6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rFonts w:ascii="Arial" w:cs="Arial" w:hAnsi="Arial" w:eastAsia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lang w:val="en-US"/>
                <w14:textFill>
                  <w14:solidFill>
                    <w14:srgbClr w14:val="516F00"/>
                  </w14:solidFill>
                </w14:textFill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25.2  COMPLETE @ 3 STARS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PIE commercial campaign included Energy Design Assistance (city civic campus), RE energy/PACE breakfast, outreach to faith organizations &amp; multi-family buildings &amp; groceries/restaurants (lighting/refrigeration); Xcel Energy offerings promoted during city development review committees</w:t>
            </w:r>
          </w:p>
          <w:p>
            <w:pPr>
              <w:pStyle w:val="Body"/>
              <w:spacing w:after="0" w:line="240" w:lineRule="auto"/>
              <w:rPr>
                <w:shd w:val="nil" w:color="auto" w:fill="auto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25.</w:t>
            </w:r>
            <w:r>
              <w:rPr>
                <w:shd w:val="nil" w:color="auto" w:fill="auto"/>
                <w:rtl w:val="0"/>
                <w:lang w:val="en-US"/>
              </w:rPr>
              <w:t>4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 xml:space="preserve"> — </w:t>
            </w:r>
            <w:r>
              <w:rPr>
                <w:shd w:val="nil" w:color="auto" w:fill="auto"/>
                <w:rtl w:val="0"/>
                <w:lang w:val="en-US"/>
              </w:rPr>
              <w:t>2 STARS:  City partners with Green Lights Recycling in Blaine for bulky recycling at drop-off site, and with Mr. Michaels Recycles Bicycles in St. Paul for drop-off refurbishing; 2019 Park Construction operation recycles concrete and asphalt</w:t>
            </w:r>
          </w:p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25.5 </w:t>
            </w:r>
            <w:r>
              <w:rPr>
                <w:shd w:val="nil" w:color="auto" w:fill="auto"/>
                <w:rtl w:val="0"/>
                <w:lang w:val="en-US"/>
              </w:rPr>
              <w:t xml:space="preserve">— </w:t>
            </w:r>
            <w:r>
              <w:rPr>
                <w:shd w:val="nil" w:color="auto" w:fill="auto"/>
                <w:rtl w:val="0"/>
                <w:lang w:val="en-US"/>
              </w:rPr>
              <w:t xml:space="preserve">3 STARS:  TIF for Northern Stacks: </w:t>
            </w:r>
            <w:r>
              <w:rPr>
                <w:shd w:val="nil" w:color="auto" w:fill="auto"/>
                <w:rtl w:val="0"/>
                <w:lang w:val="en-US"/>
              </w:rPr>
              <w:t>electric vehicle charging, sidewalks, low-flow fixtures, bike racks, and landscaping with native vegetation</w:t>
            </w:r>
          </w:p>
        </w:tc>
      </w:tr>
      <w:tr>
        <w:tblPrEx>
          <w:shd w:val="clear" w:color="auto" w:fill="ced7e7"/>
        </w:tblPrEx>
        <w:trPr>
          <w:trHeight w:val="1017" w:hRule="atLeast"/>
        </w:trPr>
        <w:tc>
          <w:tcPr>
            <w:tcW w:type="dxa" w:w="3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26. Renewable Energy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   any two actions</w:t>
            </w:r>
          </w:p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NO</w:t>
            </w:r>
          </w:p>
        </w:tc>
        <w:tc>
          <w:tcPr>
            <w:tcW w:type="dxa" w:w="6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26.1  COMPLETE @ 1 STAR --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PV on principal structure allowed in all zoning districts except I-3; PV, wind in yard requires a special use permit</w:t>
            </w:r>
            <w:r>
              <w:rPr>
                <w:rFonts w:ascii="Arial" w:cs="Arial" w:hAnsi="Arial" w:eastAsia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14:textFill>
                  <w14:solidFill>
                    <w14:srgbClr w14:val="516F00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1017" w:hRule="atLeast"/>
        </w:trPr>
        <w:tc>
          <w:tcPr>
            <w:tcW w:type="dxa" w:w="3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27. Local Food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   any one action</w:t>
            </w:r>
          </w:p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6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rFonts w:ascii="Arial" w:cs="Arial" w:hAnsi="Arial" w:eastAsia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14:textFill>
                  <w14:solidFill>
                    <w14:srgbClr w14:val="516F00"/>
                  </w14:solidFill>
                </w14:textFill>
              </w:rPr>
            </w:pPr>
            <w:r>
              <w:rPr>
                <w:rFonts w:ascii="Calibri" w:hAnsi="Calibri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27.2  COMPLETE @ 1 STAR </w:t>
            </w:r>
            <w:r>
              <w:rPr>
                <w:rFonts w:ascii="Calibri" w:hAnsi="Calibri" w:hint="default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–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chickens, domesticated poultry, bees allowed by permit; city support of East African community-managed farmer</w:t>
            </w:r>
            <w:r>
              <w:rPr>
                <w:rFonts w:ascii="Arial" w:hAnsi="Arial" w:hint="default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 xml:space="preserve">s market; art for kids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27.3  COMPLETE @ 2 STARS --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46 Community Garden plots.</w:t>
            </w:r>
          </w:p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3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28. Business Synergies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  action 2, 3 or 4</w:t>
            </w:r>
          </w:p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Hyperlink.0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2"/>
                <w:szCs w:val="22"/>
                <w:u w:val="single" w:color="0000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2"/>
                <w:szCs w:val="22"/>
                <w:u w:val="single" w:color="0000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FF"/>
                  </w14:solidFill>
                </w14:textFill>
              </w:rPr>
              <w:instrText xml:space="preserve"> HYPERLINK "https://greenstep.pca.state.mn.us/"</w:instrText>
            </w:r>
            <w:r>
              <w:rPr>
                <w:rStyle w:val="Hyperlink.0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2"/>
                <w:szCs w:val="22"/>
                <w:u w:val="single" w:color="0000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2"/>
                <w:szCs w:val="22"/>
                <w:u w:val="single" w:color="0000ff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FF"/>
                  </w14:solidFill>
                </w14:textFill>
              </w:rPr>
              <w:t>https://greenstep.pca.state.mn.us/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277" w:hRule="atLeast"/>
        </w:trPr>
        <w:tc>
          <w:tcPr>
            <w:tcW w:type="dxa" w:w="3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29. Climate Adaptation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    Action 1</w:t>
            </w:r>
          </w:p>
        </w:tc>
        <w:tc>
          <w:tcPr>
            <w:tcW w:type="dxa" w:w="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  <w:lang w:val="en-US"/>
              </w:rPr>
              <w:t>YES</w:t>
            </w:r>
          </w:p>
        </w:tc>
        <w:tc>
          <w:tcPr>
            <w:tcW w:type="dxa" w:w="6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rFonts w:ascii="Arial" w:cs="Arial" w:hAnsi="Arial" w:eastAsia="Arial"/>
                <w:outline w:val="0"/>
                <w:color w:val="516f00"/>
                <w:sz w:val="21"/>
                <w:szCs w:val="21"/>
                <w:u w:color="516f00"/>
                <w14:textFill>
                  <w14:solidFill>
                    <w14:srgbClr w14:val="516F00"/>
                  </w14:solidFill>
                </w14:textFill>
              </w:rPr>
            </w:pPr>
            <w:r>
              <w:rPr>
                <w:rFonts w:ascii="Calibri" w:hAnsi="Calibri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29.</w:t>
            </w:r>
            <w:r>
              <w:rPr>
                <w:rFonts w:ascii="Calibri" w:hAnsi="Calibri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1 </w:t>
            </w:r>
            <w:r>
              <w:rPr>
                <w:rFonts w:ascii="Calibri" w:hAnsi="Calibri" w:hint="default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— </w:t>
            </w:r>
            <w:r>
              <w:rPr>
                <w:rFonts w:ascii="Calibri" w:hAnsi="Calibri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3 STARS:  </w:t>
            </w:r>
            <w:r>
              <w:rPr>
                <w:rFonts w:ascii="Calibri" w:hAnsi="Calibri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multiple options for communicating with the public during natural disasters/emergencies ranging from social media to neighborhood patrols</w:t>
            </w:r>
            <w:r>
              <w:rPr>
                <w:rFonts w:ascii="Calibri" w:hAnsi="Calibri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; 2 emergency shelters</w:t>
            </w:r>
          </w:p>
          <w:p>
            <w:pPr>
              <w:pStyle w:val="Body"/>
              <w:spacing w:after="0" w:line="240" w:lineRule="auto"/>
              <w:rPr>
                <w:rFonts w:ascii="Arial" w:cs="Arial" w:hAnsi="Arial" w:eastAsia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14:textFill>
                  <w14:solidFill>
                    <w14:srgbClr w14:val="516F00"/>
                  </w14:solidFill>
                </w14:textFill>
              </w:rPr>
            </w:pPr>
            <w:r>
              <w:rPr>
                <w:rFonts w:ascii="Calibri" w:hAnsi="Calibri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29.4   COMPLETE @ 1 STAR --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first-time 2016 community ed / engagement event about role green infrastructure plays in health &amp; resiliency of a city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29.6   COMPLETE @ 2 STARS --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nil" w:color="auto" w:fill="auto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 xml:space="preserve">2016 MnDOT Landscape Partnership grant funded Youth Conservation Corps to plant trees, shrubs and low-care perennials and grasses in freeway ROW along the Mississippi River Trail </w:t>
            </w:r>
          </w:p>
        </w:tc>
      </w:tr>
    </w:tbl>
    <w:p>
      <w:pPr>
        <w:pStyle w:val="Body"/>
        <w:widowControl w:val="0"/>
        <w:tabs>
          <w:tab w:val="left" w:pos="8055"/>
        </w:tabs>
        <w:spacing w:after="0" w:line="240" w:lineRule="auto"/>
        <w:jc w:val="right"/>
      </w:pPr>
    </w:p>
    <w:p>
      <w:pPr>
        <w:pStyle w:val="Body"/>
        <w:spacing w:after="0" w:line="240" w:lineRule="auto"/>
      </w:pPr>
    </w:p>
    <w:p>
      <w:pPr>
        <w:pStyle w:val="Body"/>
      </w:pPr>
      <w:r>
        <w:rPr>
          <w:b w:val="1"/>
          <w:bCs w:val="1"/>
          <w:rtl w:val="0"/>
          <w:lang w:val="en-US"/>
        </w:rPr>
        <w:t xml:space="preserve">FRIDLEY </w:t>
      </w:r>
      <w:r>
        <w:rPr>
          <w:rtl w:val="0"/>
        </w:rPr>
        <w:t xml:space="preserve">– </w:t>
      </w:r>
      <w:r>
        <w:rPr>
          <w:rtl w:val="0"/>
          <w:lang w:val="fr-FR"/>
        </w:rPr>
        <w:t>notable actions</w:t>
      </w:r>
    </w:p>
    <w:p>
      <w:pPr>
        <w:pStyle w:val="List 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b w:val="1"/>
          <w:bCs w:val="1"/>
          <w:rtl w:val="0"/>
          <w:lang w:val="en-US"/>
        </w:rPr>
        <w:t>MN Brownfields</w:t>
      </w:r>
      <w:r>
        <w:rPr>
          <w:b w:val="1"/>
          <w:bCs w:val="1"/>
          <w:rtl w:val="0"/>
          <w:lang w:val="en-US"/>
        </w:rPr>
        <w:t xml:space="preserve">’ </w:t>
      </w:r>
      <w:r>
        <w:rPr>
          <w:b w:val="1"/>
          <w:bCs w:val="1"/>
          <w:rtl w:val="0"/>
          <w:lang w:val="en-US"/>
        </w:rPr>
        <w:t>Rescape Award winner</w:t>
      </w:r>
      <w:r>
        <w:rPr>
          <w:rtl w:val="0"/>
          <w:lang w:val="en-US"/>
        </w:rPr>
        <w:t xml:space="preserve"> and the largest infill commercial redevelopment in Minnesota was a former Superfund site: Northern Stacks</w:t>
      </w:r>
    </w:p>
    <w:p>
      <w:pPr>
        <w:pStyle w:val="List 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b w:val="1"/>
          <w:bCs w:val="1"/>
          <w:rtl w:val="0"/>
          <w:lang w:val="en-US"/>
        </w:rPr>
        <w:t>Redevelopment of an under-utilized, over-parked shopping center</w:t>
      </w:r>
      <w:r>
        <w:rPr>
          <w:rtl w:val="0"/>
          <w:lang w:val="en-US"/>
        </w:rPr>
        <w:t xml:space="preserve"> was done under a planned unit development ordinance to create Fridley Market</w:t>
      </w:r>
    </w:p>
    <w:p>
      <w:pPr>
        <w:pStyle w:val="List 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b w:val="1"/>
          <w:bCs w:val="1"/>
          <w:rtl w:val="0"/>
          <w:lang w:val="en-US"/>
        </w:rPr>
        <w:t>New multi-use Civic Campus</w:t>
      </w:r>
      <w:r>
        <w:rPr>
          <w:rtl w:val="0"/>
          <w:lang w:val="en-US"/>
        </w:rPr>
        <w:t>: one parking court serves as parking during work hours and as a plaza during evenings/weekends to host festivals, farmers market; stormwater treatment/water feature; on bus line and integrated with regional trails; contains buildings for City Hall, Public Works, Police, Fire</w:t>
      </w:r>
    </w:p>
    <w:p>
      <w:pPr>
        <w:pStyle w:val="List 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b w:val="1"/>
          <w:bCs w:val="1"/>
          <w:rtl w:val="0"/>
          <w:lang w:val="en-US"/>
        </w:rPr>
        <w:t>Extensive green building features</w:t>
      </w:r>
      <w:r>
        <w:rPr>
          <w:rtl w:val="0"/>
          <w:lang w:val="en-US"/>
        </w:rPr>
        <w:t xml:space="preserve"> at new Springbrook Nature Center: built to SB 2030 energy standards; bird-friendly glass; green roof, raingardens, permeable concrete; geothermal heating and cooling; LED lighting; many recycled-content materials; FSC-certified wood; low-flow water fixtures; light and motion sensors</w:t>
      </w:r>
    </w:p>
    <w:p>
      <w:pPr>
        <w:pStyle w:val="List 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b w:val="1"/>
          <w:bCs w:val="1"/>
          <w:rtl w:val="0"/>
          <w:lang w:val="en-US"/>
        </w:rPr>
        <w:t>Emerald Ash Borer Mitigation Plan</w:t>
      </w:r>
      <w:r>
        <w:rPr>
          <w:rtl w:val="0"/>
          <w:lang w:val="en-US"/>
        </w:rPr>
        <w:t xml:space="preserve"> combines selected removal, reforestation and treatment; new city canopy goal to have no more than 10% of any species, no more than 20% of any genus </w:t>
      </w:r>
    </w:p>
    <w:p>
      <w:pPr>
        <w:pStyle w:val="List 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b w:val="1"/>
          <w:bCs w:val="1"/>
          <w:rtl w:val="0"/>
          <w:lang w:val="en-US"/>
        </w:rPr>
        <w:t>Pollinator Friendly Community resolution</w:t>
      </w:r>
      <w:r>
        <w:rPr>
          <w:rtl w:val="0"/>
          <w:lang w:val="en-US"/>
        </w:rPr>
        <w:t xml:space="preserve"> includes pollinator-friendly landscaping in City parks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 xml:space="preserve">28% increase in recycling tonnage </w:t>
      </w:r>
      <w:r>
        <w:rPr>
          <w:b w:val="0"/>
          <w:bCs w:val="0"/>
          <w:rtl w:val="0"/>
          <w:lang w:val="en-US"/>
        </w:rPr>
        <w:t>due to single-sort introduction 2012-2014</w:t>
      </w:r>
      <w:r>
        <w:rPr>
          <w:b w:val="1"/>
          <w:bCs w:val="1"/>
          <w:rtl w:val="0"/>
          <w:lang w:val="en-US"/>
        </w:rPr>
        <w:t xml:space="preserve"> </w:t>
      </w:r>
    </w:p>
    <w:p>
      <w:pPr>
        <w:pStyle w:val="Body"/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b w:val="1"/>
          <w:bCs w:val="1"/>
          <w:rtl w:val="0"/>
          <w:lang w:val="en-US"/>
        </w:rPr>
        <w:t>Local East African community</w:t>
      </w:r>
      <w:r>
        <w:rPr>
          <w:rtl w:val="0"/>
          <w:lang w:val="en-US"/>
        </w:rPr>
        <w:t xml:space="preserve"> started the city</w:t>
      </w:r>
      <w:r>
        <w:rPr>
          <w:rtl w:val="0"/>
        </w:rPr>
        <w:t>’</w:t>
      </w:r>
      <w:r>
        <w:rPr>
          <w:rtl w:val="0"/>
          <w:lang w:val="en-US"/>
        </w:rPr>
        <w:t>s first farmers market in 2015 on behalf of healthy food and art for kids</w:t>
      </w:r>
    </w:p>
    <w:p>
      <w:pPr>
        <w:pStyle w:val="Body"/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b w:val="1"/>
          <w:bCs w:val="1"/>
          <w:rtl w:val="0"/>
          <w:lang w:val="en-US"/>
        </w:rPr>
        <w:t>Active transportation plan</w:t>
      </w:r>
      <w:r>
        <w:rPr>
          <w:rtl w:val="0"/>
          <w:lang w:val="en-US"/>
        </w:rPr>
        <w:t xml:space="preserve"> includes: bike trails plowed in winter; SRTS team; active city-school-health care interaction;  active living classes; public/private partnership with area bike shops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tl w:val="0"/>
          <w:lang w:val="en-US"/>
        </w:rPr>
      </w:pPr>
      <w:r>
        <w:rPr>
          <w:b w:val="1"/>
          <w:bCs w:val="1"/>
          <w:rtl w:val="0"/>
          <w:lang w:val="en-US"/>
        </w:rPr>
        <w:t>$98,000/yr. energy savings</w:t>
      </w:r>
      <w:r>
        <w:rPr>
          <w:rtl w:val="0"/>
          <w:lang w:val="en-US"/>
        </w:rPr>
        <w:t xml:space="preserve"> in PW &amp; Civic campus buildings due to Xcel Energy Design Assistance that cut electric/gas consumption 27-55% below baseline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tl w:val="0"/>
          <w:lang w:val="en-US"/>
        </w:rPr>
      </w:pPr>
      <w:r>
        <w:rPr>
          <w:b w:val="1"/>
          <w:bCs w:val="1"/>
          <w:rtl w:val="0"/>
          <w:lang w:val="en-US"/>
        </w:rPr>
        <w:t>Info sheets on how to integrate energy efficiency</w:t>
      </w:r>
      <w:r>
        <w:rPr>
          <w:rtl w:val="0"/>
          <w:lang w:val="en-US"/>
        </w:rPr>
        <w:t xml:space="preserve"> into commercial and residential renovations available at front desk, on web, shared during meetings with property owners/developers during the City's development review committee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tl w:val="0"/>
          <w:lang w:val="en-US"/>
        </w:rPr>
      </w:pPr>
      <w:r>
        <w:rPr>
          <w:b w:val="1"/>
          <w:bCs w:val="1"/>
          <w:rtl w:val="0"/>
          <w:lang w:val="en-US"/>
        </w:rPr>
        <w:t>Living Streets policy &amp; worksheet</w:t>
      </w:r>
      <w:r>
        <w:rPr>
          <w:rtl w:val="0"/>
          <w:lang w:val="en-US"/>
        </w:rPr>
        <w:t xml:space="preserve"> completed for every road project and presented to the City Council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tl w:val="0"/>
          <w:lang w:val="en-US"/>
        </w:rPr>
      </w:pPr>
      <w:r>
        <w:rPr>
          <w:b w:val="1"/>
          <w:bCs w:val="1"/>
          <w:rtl w:val="0"/>
          <w:lang w:val="en-US"/>
        </w:rPr>
        <w:t>2019 progress on community energy action plan</w:t>
      </w:r>
      <w:r>
        <w:rPr>
          <w:rtl w:val="0"/>
          <w:lang w:val="en-US"/>
        </w:rPr>
        <w:t xml:space="preserve"> (2030 goal of 20% cut), developed through Xcel's Partners in Energy, includes 3.5% cut and increased participation in Home Energy Squad visits (3x), frig recycling rebates (2x), Commerical Refrigeration &amp; MF Building Effiency, lighting (100), renewable purchases (100)</w:t>
      </w:r>
    </w:p>
    <w:p>
      <w:pPr>
        <w:pStyle w:val="Body"/>
        <w:spacing w:after="0" w:line="240" w:lineRule="auto"/>
      </w:pPr>
      <w:r/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2"/>
  </w:abstractNum>
  <w:abstractNum w:abstractNumId="1">
    <w:multiLevelType w:val="hybridMultilevel"/>
    <w:styleLink w:val="Imported Style 2"/>
    <w:lvl w:ilvl="0">
      <w:start w:val="1"/>
      <w:numFmt w:val="bullet"/>
      <w:suff w:val="tab"/>
      <w:lvlText w:val="✓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3"/>
  </w:abstractNum>
  <w:abstractNum w:abstractNumId="3">
    <w:multiLevelType w:val="hybridMultilevel"/>
    <w:styleLink w:val="Imported Style 3"/>
    <w:lvl w:ilvl="0">
      <w:start w:val="1"/>
      <w:numFmt w:val="bullet"/>
      <w:suff w:val="tab"/>
      <w:lvlText w:val="✓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4"/>
  </w:abstractNum>
  <w:abstractNum w:abstractNumId="5">
    <w:multiLevelType w:val="hybridMultilevel"/>
    <w:styleLink w:val="Imported Style 4"/>
    <w:lvl w:ilvl="0">
      <w:start w:val="1"/>
      <w:numFmt w:val="bullet"/>
      <w:suff w:val="tab"/>
      <w:lvlText w:val="✓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abel">
    <w:name w:val="Label"/>
    <w:next w:val="Label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abel.0">
    <w:name w:val="Label"/>
    <w:next w:val="Labe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fffff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FFFFFF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1"/>
      </w:numPr>
    </w:pPr>
  </w:style>
  <w:style w:type="numbering" w:styleId="Imported Style 3">
    <w:name w:val="Imported Style 3"/>
    <w:pPr>
      <w:numPr>
        <w:numId w:val="3"/>
      </w:numPr>
    </w:pPr>
  </w:style>
  <w:style w:type="numbering" w:styleId="Imported Style 4">
    <w:name w:val="Imported Style 4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